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720" w:type="dxa"/>
        <w:tblLook w:val="04A0" w:firstRow="1" w:lastRow="0" w:firstColumn="1" w:lastColumn="0" w:noHBand="0" w:noVBand="1"/>
      </w:tblPr>
      <w:tblGrid>
        <w:gridCol w:w="8342"/>
      </w:tblGrid>
      <w:tr w:rsidR="00F076C6" w:rsidTr="72EAA9C9" w14:paraId="14FB83AE" w14:textId="77777777">
        <w:tc>
          <w:tcPr>
            <w:tcW w:w="9062" w:type="dxa"/>
            <w:tcMar/>
          </w:tcPr>
          <w:p w:rsidRPr="00F076C6" w:rsidR="00F076C6" w:rsidP="01FF02FE" w:rsidRDefault="00F076C6" w14:paraId="36E547AD" w14:textId="69A9893E">
            <w:pPr>
              <w:pStyle w:val="paragraph"/>
              <w:spacing w:before="0" w:beforeAutospacing="off" w:after="0" w:afterAutospacing="off"/>
              <w:jc w:val="center"/>
              <w:textAlignment w:val="baseline"/>
              <w:rPr>
                <w:rFonts w:ascii="Segoe UI" w:hAnsi="Segoe UI" w:cs="Segoe UI"/>
                <w:sz w:val="18"/>
                <w:szCs w:val="18"/>
              </w:rPr>
            </w:pPr>
            <w:r w:rsidRPr="72EAA9C9" w:rsidR="00F076C6">
              <w:rPr>
                <w:rStyle w:val="normaltextrun"/>
                <w:rFonts w:ascii="FlandersArtSans-Bold" w:hAnsi="FlandersArtSans-Bold" w:cs="Segoe UI"/>
                <w:b w:val="1"/>
                <w:bCs w:val="1"/>
                <w:caps w:val="1"/>
                <w:color w:val="000000" w:themeColor="text1" w:themeTint="FF" w:themeShade="FF"/>
                <w:sz w:val="22"/>
                <w:szCs w:val="22"/>
                <w:u w:val="single"/>
              </w:rPr>
              <w:t>LET OP</w:t>
            </w:r>
            <w:r w:rsidRPr="72EAA9C9" w:rsidR="00F076C6">
              <w:rPr>
                <w:rStyle w:val="normaltextrun"/>
                <w:rFonts w:ascii="FlandersArtSans-Bold" w:hAnsi="FlandersArtSans-Bold" w:cs="Segoe UI"/>
                <w:caps w:val="1"/>
                <w:color w:val="000000" w:themeColor="text1" w:themeTint="FF" w:themeShade="FF"/>
                <w:sz w:val="22"/>
                <w:szCs w:val="22"/>
              </w:rPr>
              <w:t xml:space="preserve">: DIT IS EEN WEERGAVE VAN DE GEVRAAGDE INFORMATIE BIJ HET INDIENEN </w:t>
            </w:r>
            <w:r w:rsidRPr="72EAA9C9" w:rsidR="005C71FE">
              <w:rPr>
                <w:rStyle w:val="normaltextrun"/>
                <w:rFonts w:ascii="FlandersArtSans-Bold" w:hAnsi="FlandersArtSans-Bold" w:cs="Segoe UI"/>
                <w:caps w:val="1"/>
                <w:color w:val="000000" w:themeColor="text1" w:themeTint="FF" w:themeShade="FF"/>
                <w:sz w:val="22"/>
                <w:szCs w:val="22"/>
              </w:rPr>
              <w:t xml:space="preserve">van de rapportage </w:t>
            </w:r>
            <w:r w:rsidRPr="72EAA9C9" w:rsidR="00887F1A">
              <w:rPr>
                <w:rStyle w:val="normaltextrun"/>
                <w:rFonts w:ascii="FlandersArtSans-Bold" w:hAnsi="FlandersArtSans-Bold" w:cs="Segoe UI"/>
                <w:caps w:val="1"/>
                <w:color w:val="000000" w:themeColor="text1" w:themeTint="FF" w:themeShade="FF"/>
                <w:sz w:val="22"/>
                <w:szCs w:val="22"/>
              </w:rPr>
              <w:t>van je relanceproject</w:t>
            </w:r>
            <w:r w:rsidRPr="72EAA9C9" w:rsidR="00F076C6">
              <w:rPr>
                <w:rStyle w:val="normaltextrun"/>
                <w:rFonts w:ascii="FlandersArtSans-Bold" w:hAnsi="FlandersArtSans-Bold" w:cs="Segoe UI"/>
                <w:caps w:val="1"/>
                <w:color w:val="000000" w:themeColor="text1" w:themeTint="FF" w:themeShade="FF"/>
                <w:sz w:val="22"/>
                <w:szCs w:val="22"/>
              </w:rPr>
              <w:t xml:space="preserve">, DIT IS GEEN </w:t>
            </w:r>
            <w:r w:rsidRPr="72EAA9C9" w:rsidR="00F076C6">
              <w:rPr>
                <w:rStyle w:val="normaltextrun"/>
                <w:rFonts w:ascii="FlandersArtSans-Bold" w:hAnsi="FlandersArtSans-Bold" w:cs="Segoe UI"/>
                <w:caps w:val="1"/>
                <w:color w:val="000000" w:themeColor="text1" w:themeTint="FF" w:themeShade="FF"/>
                <w:sz w:val="22"/>
                <w:szCs w:val="22"/>
              </w:rPr>
              <w:t>GELDI</w:t>
            </w:r>
            <w:r w:rsidRPr="72EAA9C9" w:rsidR="00312584">
              <w:rPr>
                <w:rStyle w:val="normaltextrun"/>
                <w:rFonts w:ascii="FlandersArtSans-Bold" w:hAnsi="FlandersArtSans-Bold" w:cs="Segoe UI"/>
                <w:caps w:val="1"/>
                <w:color w:val="000000" w:themeColor="text1" w:themeTint="FF" w:themeShade="FF"/>
                <w:sz w:val="22"/>
                <w:szCs w:val="22"/>
              </w:rPr>
              <w:t>g</w:t>
            </w:r>
            <w:r w:rsidRPr="72EAA9C9" w:rsidR="00312584">
              <w:rPr>
                <w:rStyle w:val="normaltextrun"/>
                <w:rFonts w:ascii="FlandersArtSans-Bold" w:hAnsi="FlandersArtSans-Bold" w:cs="Segoe UI"/>
                <w:caps w:val="1"/>
                <w:color w:val="000000" w:themeColor="text1" w:themeTint="FF" w:themeShade="FF"/>
                <w:sz w:val="22"/>
                <w:szCs w:val="22"/>
              </w:rPr>
              <w:t xml:space="preserve"> </w:t>
            </w:r>
            <w:r w:rsidRPr="72EAA9C9" w:rsidR="00312584">
              <w:rPr>
                <w:rStyle w:val="normaltextrun"/>
                <w:rFonts w:ascii="FlandersArtSans-Bold" w:hAnsi="FlandersArtSans-Bold" w:cs="Segoe UI"/>
                <w:caps w:val="1"/>
                <w:color w:val="000000" w:themeColor="text1" w:themeTint="FF" w:themeShade="FF"/>
                <w:sz w:val="22"/>
                <w:szCs w:val="22"/>
              </w:rPr>
              <w:t>rapportage</w:t>
            </w:r>
            <w:r w:rsidRPr="72EAA9C9" w:rsidR="00F076C6">
              <w:rPr>
                <w:rStyle w:val="normaltextrun"/>
                <w:rFonts w:ascii="FlandersArtSans-Bold" w:hAnsi="FlandersArtSans-Bold" w:cs="Segoe UI"/>
                <w:caps w:val="1"/>
                <w:color w:val="000000" w:themeColor="text1" w:themeTint="FF" w:themeShade="FF"/>
                <w:sz w:val="22"/>
                <w:szCs w:val="22"/>
              </w:rPr>
              <w:t>FORMULIER</w:t>
            </w:r>
            <w:r w:rsidRPr="72EAA9C9" w:rsidR="00F076C6">
              <w:rPr>
                <w:rStyle w:val="normaltextrun"/>
                <w:rFonts w:ascii="FlandersArtSans-Bold" w:hAnsi="FlandersArtSans-Bold" w:cs="Segoe UI"/>
                <w:caps w:val="1"/>
                <w:color w:val="000000" w:themeColor="text1" w:themeTint="FF" w:themeShade="FF"/>
                <w:sz w:val="22"/>
                <w:szCs w:val="22"/>
              </w:rPr>
              <w:t xml:space="preserve">. EEN </w:t>
            </w:r>
            <w:r w:rsidRPr="72EAA9C9" w:rsidR="065A530D">
              <w:rPr>
                <w:rStyle w:val="normaltextrun"/>
                <w:rFonts w:ascii="FlandersArtSans-Bold" w:hAnsi="FlandersArtSans-Bold" w:cs="Segoe UI"/>
                <w:caps w:val="1"/>
                <w:color w:val="000000" w:themeColor="text1" w:themeTint="FF" w:themeShade="FF"/>
                <w:sz w:val="22"/>
                <w:szCs w:val="22"/>
              </w:rPr>
              <w:t xml:space="preserve">RAPPORTAGEFORMULIER </w:t>
            </w:r>
            <w:r w:rsidRPr="72EAA9C9" w:rsidR="00F076C6">
              <w:rPr>
                <w:rStyle w:val="normaltextrun"/>
                <w:rFonts w:ascii="FlandersArtSans-Bold" w:hAnsi="FlandersArtSans-Bold" w:cs="Segoe UI"/>
                <w:caps w:val="1"/>
                <w:color w:val="000000" w:themeColor="text1" w:themeTint="FF" w:themeShade="FF"/>
                <w:sz w:val="22"/>
                <w:szCs w:val="22"/>
              </w:rPr>
              <w:t>KAN ENKEL VIA HET DIGITAAL SUBSIDIELOKET</w:t>
            </w:r>
            <w:r w:rsidRPr="72EAA9C9" w:rsidR="717B7C2E">
              <w:rPr>
                <w:rStyle w:val="normaltextrun"/>
                <w:rFonts w:ascii="FlandersArtSans-Bold" w:hAnsi="FlandersArtSans-Bold" w:cs="Segoe UI"/>
                <w:caps w:val="1"/>
                <w:color w:val="000000" w:themeColor="text1" w:themeTint="FF" w:themeShade="FF"/>
                <w:sz w:val="22"/>
                <w:szCs w:val="22"/>
              </w:rPr>
              <w:t xml:space="preserve"> INGEDIEND WORDEN</w:t>
            </w:r>
            <w:r w:rsidRPr="72EAA9C9" w:rsidR="00F076C6">
              <w:rPr>
                <w:rStyle w:val="normaltextrun"/>
                <w:rFonts w:ascii="FlandersArtSans-Bold" w:hAnsi="FlandersArtSans-Bold" w:cs="Segoe UI"/>
                <w:caps w:val="1"/>
                <w:color w:val="000000" w:themeColor="text1" w:themeTint="FF" w:themeShade="FF"/>
                <w:sz w:val="22"/>
                <w:szCs w:val="22"/>
              </w:rPr>
              <w:t xml:space="preserve">: </w:t>
            </w:r>
            <w:hyperlink r:id="R2be3de1471ac4edb">
              <w:r w:rsidRPr="72EAA9C9" w:rsidR="00A76686">
                <w:rPr>
                  <w:rStyle w:val="Hyperlink"/>
                  <w:rFonts w:ascii="FlandersArtSans-Bold" w:hAnsi="FlandersArtSans-Bold"/>
                  <w:caps w:val="1"/>
                  <w:color w:val="A6A6A6" w:themeColor="background1" w:themeTint="FF" w:themeShade="A6"/>
                </w:rPr>
                <w:t>https://relanceoproepen.toerismevlaanderen.be</w:t>
              </w:r>
              <w:r w:rsidRPr="72EAA9C9" w:rsidR="00A76686">
                <w:rPr>
                  <w:rStyle w:val="Hyperlink"/>
                  <w:rFonts w:ascii="Cambria" w:hAnsi="Cambria" w:cs="Cambria"/>
                  <w:caps w:val="1"/>
                  <w:color w:val="A6A6A6" w:themeColor="background1" w:themeTint="FF" w:themeShade="A6"/>
                </w:rPr>
                <w:t>  </w:t>
              </w:r>
            </w:hyperlink>
          </w:p>
        </w:tc>
      </w:tr>
    </w:tbl>
    <w:p w:rsidR="006F33B0" w:rsidP="00413AD8" w:rsidRDefault="006F33B0" w14:paraId="5F5B50AF" w14:textId="77777777">
      <w:pPr>
        <w:ind w:left="720" w:hanging="360"/>
      </w:pPr>
    </w:p>
    <w:p w:rsidR="00413AD8" w:rsidP="00413AD8" w:rsidRDefault="00413AD8" w14:paraId="6A993EE6" w14:textId="77777777">
      <w:pPr>
        <w:pStyle w:val="Lijstalinea"/>
        <w:numPr>
          <w:ilvl w:val="0"/>
          <w:numId w:val="1"/>
        </w:numPr>
        <w:rPr>
          <w:rFonts w:eastAsia="Times New Roman"/>
        </w:rPr>
      </w:pPr>
      <w:r>
        <w:rPr>
          <w:rFonts w:eastAsia="Times New Roman"/>
        </w:rPr>
        <w:t>Geef een beknopte omschrijving van de stand van zaken op vlak van de uitvoering van het project.</w:t>
      </w:r>
    </w:p>
    <w:p w:rsidR="00413AD8" w:rsidP="00413AD8" w:rsidRDefault="00413AD8" w14:paraId="140EDCB7" w14:textId="77777777">
      <w:pPr>
        <w:pStyle w:val="Lijstalinea"/>
        <w:numPr>
          <w:ilvl w:val="0"/>
          <w:numId w:val="1"/>
        </w:numPr>
        <w:rPr>
          <w:rFonts w:eastAsia="Times New Roman"/>
        </w:rPr>
      </w:pPr>
      <w:r>
        <w:rPr>
          <w:rFonts w:eastAsia="Times New Roman"/>
        </w:rPr>
        <w:t>Zijn er inhoudelijke of financiële wijzigingen in het project? Omschrijf de wijzigingen.</w:t>
      </w:r>
    </w:p>
    <w:p w:rsidR="00413AD8" w:rsidP="00413AD8" w:rsidRDefault="00413AD8" w14:paraId="1936262F" w14:textId="77777777">
      <w:pPr>
        <w:pStyle w:val="Lijstalinea"/>
        <w:numPr>
          <w:ilvl w:val="0"/>
          <w:numId w:val="1"/>
        </w:numPr>
        <w:rPr>
          <w:rFonts w:eastAsia="Times New Roman"/>
        </w:rPr>
      </w:pPr>
      <w:r>
        <w:rPr>
          <w:rFonts w:eastAsia="Times New Roman"/>
        </w:rPr>
        <w:t>Zit de timing van het project op schema? Zo niet, omschrijf de wijzigingen. Jouw projectcoach vraagt, indien nodig, een aangepaste, realistische timing op.</w:t>
      </w:r>
    </w:p>
    <w:p w:rsidR="00413AD8" w:rsidP="00413AD8" w:rsidRDefault="00413AD8" w14:paraId="4D639A69" w14:textId="77777777">
      <w:pPr>
        <w:pStyle w:val="Lijstalinea"/>
        <w:numPr>
          <w:ilvl w:val="0"/>
          <w:numId w:val="1"/>
        </w:numPr>
        <w:rPr>
          <w:rFonts w:eastAsia="Times New Roman"/>
        </w:rPr>
      </w:pPr>
      <w:r>
        <w:rPr>
          <w:rFonts w:eastAsia="Times New Roman"/>
        </w:rPr>
        <w:t>Geef de data van de belangrijke persmomenten, communicatiemijlpalen en de officiële opening (voor zover deze reeds gekend is).</w:t>
      </w:r>
    </w:p>
    <w:p w:rsidR="00413AD8" w:rsidP="00413AD8" w:rsidRDefault="00413AD8" w14:paraId="012796F9" w14:textId="77777777">
      <w:pPr>
        <w:pStyle w:val="Lijstalinea"/>
        <w:numPr>
          <w:ilvl w:val="0"/>
          <w:numId w:val="1"/>
        </w:numPr>
        <w:rPr>
          <w:rFonts w:eastAsia="Times New Roman"/>
        </w:rPr>
      </w:pPr>
      <w:r>
        <w:rPr>
          <w:rFonts w:eastAsia="Times New Roman"/>
        </w:rPr>
        <w:t>Welke stappen heb je al ondernomen om tegemoet te komen aan de toegankelijkheidsnormen?</w:t>
      </w:r>
    </w:p>
    <w:p w:rsidR="00413AD8" w:rsidP="00413AD8" w:rsidRDefault="00413AD8" w14:paraId="66D7865A" w14:textId="77777777">
      <w:pPr>
        <w:pStyle w:val="Lijstalinea"/>
        <w:numPr>
          <w:ilvl w:val="0"/>
          <w:numId w:val="1"/>
        </w:numPr>
        <w:rPr>
          <w:rFonts w:eastAsia="Times New Roman"/>
        </w:rPr>
      </w:pPr>
      <w:r>
        <w:rPr>
          <w:rFonts w:eastAsia="Times New Roman"/>
        </w:rPr>
        <w:t>Welke stappen heb je al ondernomen om het project aantrekkelijk te maken voor families en jongeren?</w:t>
      </w:r>
    </w:p>
    <w:p w:rsidR="00413AD8" w:rsidP="00413AD8" w:rsidRDefault="00413AD8" w14:paraId="754A17DD" w14:textId="77777777">
      <w:pPr>
        <w:ind w:left="360"/>
      </w:pPr>
      <w:r>
        <w:t>(vraag 7 enkel in te vullen bij rapportage tegen 1 november, dus niet in mei)</w:t>
      </w:r>
    </w:p>
    <w:p w:rsidR="00413AD8" w:rsidP="00413AD8" w:rsidRDefault="00413AD8" w14:paraId="3682778A" w14:textId="77777777">
      <w:pPr>
        <w:pStyle w:val="Lijstalinea"/>
        <w:numPr>
          <w:ilvl w:val="0"/>
          <w:numId w:val="1"/>
        </w:numPr>
        <w:rPr>
          <w:rFonts w:eastAsia="Times New Roman"/>
        </w:rPr>
      </w:pPr>
      <w:r>
        <w:rPr>
          <w:rFonts w:eastAsia="Times New Roman"/>
        </w:rPr>
        <w:t xml:space="preserve">Financiële prestaties: Voor de boekhoudkundige opvolging en rapportage over de toegekende relancemiddelen heeft Toerisme Vlaanderen een zo correct mogelijke inschatting nodig van de financiële prestaties en inkomsten tussen 1 januari en 31 december van het huidige jaar m.b.t. het gesubsidieerde project. </w:t>
      </w:r>
    </w:p>
    <w:p w:rsidR="00413AD8" w:rsidP="00413AD8" w:rsidRDefault="00413AD8" w14:paraId="4630C585" w14:textId="77777777">
      <w:pPr>
        <w:pStyle w:val="Lijstalinea"/>
      </w:pPr>
    </w:p>
    <w:p w:rsidR="00413AD8" w:rsidP="00413AD8" w:rsidRDefault="00413AD8" w14:paraId="581657BB" w14:textId="77777777">
      <w:pPr>
        <w:pStyle w:val="Lijstalinea"/>
        <w:numPr>
          <w:ilvl w:val="0"/>
          <w:numId w:val="2"/>
        </w:numPr>
        <w:rPr>
          <w:rFonts w:eastAsia="Times New Roman"/>
        </w:rPr>
      </w:pPr>
      <w:r>
        <w:rPr>
          <w:rFonts w:eastAsia="Times New Roman"/>
        </w:rPr>
        <w:t xml:space="preserve">Onder financiële prestaties verstaan we zowel facturen als personeelskosten. Vertrek hiervoor van de geraamde projectkost per kostensoort in de goedgekeurde raming. Geef daarna een inschatting van het tussentijds totaal gepresteerde bedrag per kostensoort voor het huidige jaar. </w:t>
      </w:r>
    </w:p>
    <w:tbl>
      <w:tblPr>
        <w:tblW w:w="8363" w:type="dxa"/>
        <w:tblInd w:w="704" w:type="dxa"/>
        <w:tblCellMar>
          <w:left w:w="0" w:type="dxa"/>
          <w:right w:w="0" w:type="dxa"/>
        </w:tblCellMar>
        <w:tblLook w:val="04A0" w:firstRow="1" w:lastRow="0" w:firstColumn="1" w:lastColumn="0" w:noHBand="0" w:noVBand="1"/>
      </w:tblPr>
      <w:tblGrid>
        <w:gridCol w:w="4749"/>
        <w:gridCol w:w="1756"/>
        <w:gridCol w:w="1858"/>
      </w:tblGrid>
      <w:tr w:rsidR="00413AD8" w:rsidTr="00413AD8" w14:paraId="0387F417" w14:textId="77777777">
        <w:tc>
          <w:tcPr>
            <w:tcW w:w="474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6C3087A8" w14:textId="77777777">
            <w:r>
              <w:t>Kostensoort</w:t>
            </w:r>
          </w:p>
        </w:tc>
        <w:tc>
          <w:tcPr>
            <w:tcW w:w="175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1CD1395C" w14:textId="77777777">
            <w:pPr>
              <w:jc w:val="right"/>
            </w:pPr>
            <w:r>
              <w:rPr>
                <w:color w:val="000000"/>
              </w:rPr>
              <w:t>Totaal geraamd bedrag</w:t>
            </w:r>
          </w:p>
        </w:tc>
        <w:tc>
          <w:tcPr>
            <w:tcW w:w="185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13AD8" w:rsidRDefault="00413AD8" w14:paraId="219245AE" w14:textId="77777777">
            <w:pPr>
              <w:jc w:val="right"/>
            </w:pPr>
            <w:r>
              <w:t>Bedrag gepresteerd in het huidige jaar</w:t>
            </w:r>
          </w:p>
        </w:tc>
      </w:tr>
      <w:tr w:rsidR="00413AD8" w:rsidTr="00413AD8" w14:paraId="48220E3C"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11ABBB99" w14:textId="77777777">
            <w:r>
              <w:rPr>
                <w:color w:val="000000"/>
              </w:rPr>
              <w:t>DIGITALE PRODUCTEN</w:t>
            </w:r>
          </w:p>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04489AA0"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7060AEE2" w14:textId="77777777">
            <w:pPr>
              <w:jc w:val="right"/>
            </w:pPr>
          </w:p>
        </w:tc>
      </w:tr>
      <w:tr w:rsidR="00413AD8" w:rsidTr="00413AD8" w14:paraId="28C6BFE5"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5D88F0A2" w14:textId="77777777">
            <w:r>
              <w:rPr>
                <w:color w:val="000000"/>
              </w:rPr>
              <w:t>INFRASTRUCTUUR</w:t>
            </w:r>
          </w:p>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698452B6"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1466047C" w14:textId="77777777">
            <w:pPr>
              <w:jc w:val="right"/>
            </w:pPr>
          </w:p>
        </w:tc>
      </w:tr>
      <w:tr w:rsidR="00413AD8" w:rsidTr="00413AD8" w14:paraId="6E79BD71"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6BBC8C88" w14:textId="77777777">
            <w:r>
              <w:rPr>
                <w:color w:val="000000"/>
              </w:rPr>
              <w:t>PERSONEELSKOSTEN</w:t>
            </w:r>
          </w:p>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3B681D2A"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2433B37E" w14:textId="77777777">
            <w:pPr>
              <w:jc w:val="right"/>
            </w:pPr>
          </w:p>
        </w:tc>
      </w:tr>
      <w:tr w:rsidR="00413AD8" w:rsidTr="00413AD8" w14:paraId="4E15B94E"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4F657BA1" w14:textId="77777777">
            <w:r>
              <w:rPr>
                <w:color w:val="000000"/>
              </w:rPr>
              <w:t>STUDIES &amp; ONTWERPEN</w:t>
            </w:r>
          </w:p>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0344B8C4" w14:textId="77777777"/>
        </w:tc>
        <w:tc>
          <w:tcPr>
            <w:tcW w:w="1858" w:type="dxa"/>
            <w:tcBorders>
              <w:top w:val="nil"/>
              <w:left w:val="nil"/>
              <w:bottom w:val="single" w:color="auto" w:sz="24" w:space="0"/>
              <w:right w:val="single" w:color="auto" w:sz="8" w:space="0"/>
            </w:tcBorders>
            <w:tcMar>
              <w:top w:w="0" w:type="dxa"/>
              <w:left w:w="108" w:type="dxa"/>
              <w:bottom w:w="0" w:type="dxa"/>
              <w:right w:w="108" w:type="dxa"/>
            </w:tcMar>
          </w:tcPr>
          <w:p w:rsidR="00413AD8" w:rsidRDefault="00413AD8" w14:paraId="7E70F28B" w14:textId="77777777">
            <w:pPr>
              <w:jc w:val="right"/>
            </w:pPr>
          </w:p>
        </w:tc>
      </w:tr>
      <w:tr w:rsidR="00413AD8" w:rsidTr="00413AD8" w14:paraId="2EF69F98" w14:textId="77777777">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13AD8" w:rsidRDefault="00413AD8" w14:paraId="3272CB04" w14:textId="77777777">
            <w:pPr>
              <w:jc w:val="right"/>
            </w:pPr>
            <w:r>
              <w:t>TOTALEN</w:t>
            </w:r>
          </w:p>
        </w:tc>
        <w:tc>
          <w:tcPr>
            <w:tcW w:w="1756" w:type="dxa"/>
            <w:tcBorders>
              <w:top w:val="nil"/>
              <w:left w:val="nil"/>
              <w:bottom w:val="single" w:color="auto" w:sz="8" w:space="0"/>
              <w:right w:val="single" w:color="auto" w:sz="24" w:space="0"/>
            </w:tcBorders>
            <w:tcMar>
              <w:top w:w="0" w:type="dxa"/>
              <w:left w:w="108" w:type="dxa"/>
              <w:bottom w:w="0" w:type="dxa"/>
              <w:right w:w="108" w:type="dxa"/>
            </w:tcMar>
          </w:tcPr>
          <w:p w:rsidR="00413AD8" w:rsidRDefault="00413AD8" w14:paraId="78E31E95" w14:textId="77777777">
            <w:pPr>
              <w:jc w:val="right"/>
            </w:pPr>
          </w:p>
        </w:tc>
        <w:tc>
          <w:tcPr>
            <w:tcW w:w="1858" w:type="dxa"/>
            <w:tcBorders>
              <w:top w:val="nil"/>
              <w:left w:val="nil"/>
              <w:bottom w:val="single" w:color="auto" w:sz="24" w:space="0"/>
              <w:right w:val="single" w:color="auto" w:sz="24" w:space="0"/>
            </w:tcBorders>
            <w:tcMar>
              <w:top w:w="0" w:type="dxa"/>
              <w:left w:w="108" w:type="dxa"/>
              <w:bottom w:w="0" w:type="dxa"/>
              <w:right w:w="108" w:type="dxa"/>
            </w:tcMar>
          </w:tcPr>
          <w:p w:rsidR="00413AD8" w:rsidRDefault="00413AD8" w14:paraId="3C193AEE" w14:textId="77777777"/>
        </w:tc>
      </w:tr>
    </w:tbl>
    <w:p w:rsidR="00413AD8" w:rsidP="00413AD8" w:rsidRDefault="00413AD8" w14:paraId="4655499C" w14:textId="77777777"/>
    <w:p w:rsidR="00413AD8" w:rsidP="00413AD8" w:rsidRDefault="00413AD8" w14:paraId="50F5B2C6" w14:textId="77777777">
      <w:pPr>
        <w:pStyle w:val="Lijstalinea"/>
        <w:numPr>
          <w:ilvl w:val="0"/>
          <w:numId w:val="2"/>
        </w:numPr>
        <w:rPr>
          <w:rFonts w:eastAsia="Times New Roman"/>
        </w:rPr>
      </w:pPr>
      <w:r>
        <w:rPr>
          <w:rFonts w:eastAsia="Times New Roman"/>
        </w:rPr>
        <w:t>Onder inkomsten verstaan we alle financieringsbronnen die bovenvermelde kostenposten financieren (relancesteun TVL, eigen inbreng, andere subsidiekanalen, sponsoring, ticketing enz.). Geef aan hoe de prestaties verdeeld worden over deze financieringsbronnen. Deze rapportage dient om dubbele financiering te vermijden.</w:t>
      </w:r>
    </w:p>
    <w:tbl>
      <w:tblPr>
        <w:tblW w:w="8363" w:type="dxa"/>
        <w:tblInd w:w="704" w:type="dxa"/>
        <w:tblCellMar>
          <w:left w:w="0" w:type="dxa"/>
          <w:right w:w="0" w:type="dxa"/>
        </w:tblCellMar>
        <w:tblLook w:val="04A0" w:firstRow="1" w:lastRow="0" w:firstColumn="1" w:lastColumn="0" w:noHBand="0" w:noVBand="1"/>
      </w:tblPr>
      <w:tblGrid>
        <w:gridCol w:w="4749"/>
        <w:gridCol w:w="1756"/>
        <w:gridCol w:w="1858"/>
      </w:tblGrid>
      <w:tr w:rsidR="00413AD8" w:rsidTr="00413AD8" w14:paraId="2C1738CA" w14:textId="77777777">
        <w:tc>
          <w:tcPr>
            <w:tcW w:w="474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7CD82C3E" w14:textId="77777777">
            <w:r>
              <w:t>Financieringsbron</w:t>
            </w:r>
          </w:p>
        </w:tc>
        <w:tc>
          <w:tcPr>
            <w:tcW w:w="175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0C265052" w14:textId="77777777">
            <w:pPr>
              <w:jc w:val="right"/>
            </w:pPr>
            <w:r>
              <w:rPr>
                <w:color w:val="000000"/>
              </w:rPr>
              <w:t>Bedrag</w:t>
            </w:r>
          </w:p>
        </w:tc>
        <w:tc>
          <w:tcPr>
            <w:tcW w:w="185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413AD8" w:rsidRDefault="00413AD8" w14:paraId="34E40EC4" w14:textId="77777777">
            <w:pPr>
              <w:jc w:val="right"/>
            </w:pPr>
            <w:r>
              <w:t>Bedrag gefinancierd in het huidige jaar</w:t>
            </w:r>
          </w:p>
        </w:tc>
      </w:tr>
      <w:tr w:rsidR="00413AD8" w:rsidTr="00413AD8" w14:paraId="3E6F6716"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413AD8" w:rsidRDefault="00413AD8" w14:paraId="11EA7115" w14:textId="77777777">
            <w:r>
              <w:rPr>
                <w:color w:val="000000"/>
              </w:rPr>
              <w:t>Relance subsidie Toerisme Vlaanderen</w:t>
            </w:r>
          </w:p>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6A00E1FB"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3EEA5298" w14:textId="77777777">
            <w:pPr>
              <w:jc w:val="right"/>
            </w:pPr>
          </w:p>
        </w:tc>
      </w:tr>
      <w:tr w:rsidR="00413AD8" w:rsidTr="00413AD8" w14:paraId="5F712876"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52D296F9" w14:textId="77777777"/>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73F6C271"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5C8E7025" w14:textId="77777777">
            <w:pPr>
              <w:jc w:val="right"/>
            </w:pPr>
          </w:p>
        </w:tc>
      </w:tr>
      <w:tr w:rsidR="00413AD8" w:rsidTr="00413AD8" w14:paraId="390E04F1"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132A1BB9" w14:textId="77777777"/>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51764E6A" w14:textId="77777777"/>
        </w:tc>
        <w:tc>
          <w:tcPr>
            <w:tcW w:w="1858" w:type="dxa"/>
            <w:tcBorders>
              <w:top w:val="nil"/>
              <w:left w:val="nil"/>
              <w:bottom w:val="single" w:color="auto" w:sz="8" w:space="0"/>
              <w:right w:val="single" w:color="auto" w:sz="8" w:space="0"/>
            </w:tcBorders>
            <w:tcMar>
              <w:top w:w="0" w:type="dxa"/>
              <w:left w:w="108" w:type="dxa"/>
              <w:bottom w:w="0" w:type="dxa"/>
              <w:right w:w="108" w:type="dxa"/>
            </w:tcMar>
          </w:tcPr>
          <w:p w:rsidR="00413AD8" w:rsidRDefault="00413AD8" w14:paraId="42AB19EA" w14:textId="77777777">
            <w:pPr>
              <w:jc w:val="right"/>
            </w:pPr>
          </w:p>
        </w:tc>
      </w:tr>
      <w:tr w:rsidR="00413AD8" w:rsidTr="00413AD8" w14:paraId="590BB2F3" w14:textId="77777777">
        <w:tc>
          <w:tcPr>
            <w:tcW w:w="4749"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69E070B5" w14:textId="77777777"/>
        </w:tc>
        <w:tc>
          <w:tcPr>
            <w:tcW w:w="175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00413AD8" w:rsidRDefault="00413AD8" w14:paraId="6250C3D1" w14:textId="77777777"/>
        </w:tc>
        <w:tc>
          <w:tcPr>
            <w:tcW w:w="1858" w:type="dxa"/>
            <w:tcBorders>
              <w:top w:val="nil"/>
              <w:left w:val="nil"/>
              <w:bottom w:val="single" w:color="auto" w:sz="24" w:space="0"/>
              <w:right w:val="single" w:color="auto" w:sz="8" w:space="0"/>
            </w:tcBorders>
            <w:tcMar>
              <w:top w:w="0" w:type="dxa"/>
              <w:left w:w="108" w:type="dxa"/>
              <w:bottom w:w="0" w:type="dxa"/>
              <w:right w:w="108" w:type="dxa"/>
            </w:tcMar>
          </w:tcPr>
          <w:p w:rsidR="00413AD8" w:rsidRDefault="00413AD8" w14:paraId="4F7510A0" w14:textId="77777777">
            <w:pPr>
              <w:jc w:val="right"/>
            </w:pPr>
          </w:p>
        </w:tc>
      </w:tr>
      <w:tr w:rsidR="00413AD8" w:rsidTr="00413AD8" w14:paraId="51D5CE26" w14:textId="77777777">
        <w:tc>
          <w:tcPr>
            <w:tcW w:w="474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413AD8" w:rsidRDefault="00413AD8" w14:paraId="30DCF28A" w14:textId="77777777">
            <w:pPr>
              <w:jc w:val="right"/>
            </w:pPr>
            <w:r>
              <w:lastRenderedPageBreak/>
              <w:t>TOTALEN</w:t>
            </w:r>
          </w:p>
        </w:tc>
        <w:tc>
          <w:tcPr>
            <w:tcW w:w="1756" w:type="dxa"/>
            <w:tcBorders>
              <w:top w:val="nil"/>
              <w:left w:val="nil"/>
              <w:bottom w:val="single" w:color="auto" w:sz="8" w:space="0"/>
              <w:right w:val="single" w:color="auto" w:sz="24" w:space="0"/>
            </w:tcBorders>
            <w:tcMar>
              <w:top w:w="0" w:type="dxa"/>
              <w:left w:w="108" w:type="dxa"/>
              <w:bottom w:w="0" w:type="dxa"/>
              <w:right w:w="108" w:type="dxa"/>
            </w:tcMar>
          </w:tcPr>
          <w:p w:rsidR="00413AD8" w:rsidRDefault="00413AD8" w14:paraId="27515EF1" w14:textId="77777777">
            <w:pPr>
              <w:jc w:val="right"/>
            </w:pPr>
          </w:p>
        </w:tc>
        <w:tc>
          <w:tcPr>
            <w:tcW w:w="1858" w:type="dxa"/>
            <w:tcBorders>
              <w:top w:val="nil"/>
              <w:left w:val="nil"/>
              <w:bottom w:val="single" w:color="auto" w:sz="24" w:space="0"/>
              <w:right w:val="single" w:color="auto" w:sz="24" w:space="0"/>
            </w:tcBorders>
            <w:tcMar>
              <w:top w:w="0" w:type="dxa"/>
              <w:left w:w="108" w:type="dxa"/>
              <w:bottom w:w="0" w:type="dxa"/>
              <w:right w:w="108" w:type="dxa"/>
            </w:tcMar>
          </w:tcPr>
          <w:p w:rsidR="00413AD8" w:rsidRDefault="00413AD8" w14:paraId="77B40FF9" w14:textId="77777777"/>
        </w:tc>
      </w:tr>
    </w:tbl>
    <w:p w:rsidR="00413AD8" w:rsidP="00413AD8" w:rsidRDefault="00413AD8" w14:paraId="12526A0A" w14:textId="77777777">
      <w:pPr>
        <w:ind w:left="708"/>
      </w:pPr>
    </w:p>
    <w:p w:rsidR="00413AD8" w:rsidP="00413AD8" w:rsidRDefault="00413AD8" w14:paraId="7EBABA20" w14:textId="44D1C121">
      <w:r w:rsidRPr="72EAA9C9" w:rsidR="00413AD8">
        <w:rPr>
          <w:b w:val="1"/>
          <w:bCs w:val="1"/>
        </w:rPr>
        <w:t>Let op</w:t>
      </w:r>
      <w:r w:rsidR="00413AD8">
        <w:rPr/>
        <w:t xml:space="preserve">: het totaal aan gepresteerde uitgaven moet </w:t>
      </w:r>
      <w:r w:rsidR="00413AD8">
        <w:rPr/>
        <w:t>overeenkomen</w:t>
      </w:r>
      <w:r w:rsidR="00413AD8">
        <w:rPr/>
        <w:t xml:space="preserve"> aan het totaal gefinancierde bedrag (zie vet omrande cellen). </w:t>
      </w:r>
    </w:p>
    <w:p w:rsidR="0093089D" w:rsidRDefault="0093089D" w14:paraId="02210ED6" w14:textId="77777777"/>
    <w:sectPr w:rsidR="0093089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805"/>
    <w:multiLevelType w:val="hybridMultilevel"/>
    <w:tmpl w:val="7BF4C438"/>
    <w:lvl w:ilvl="0" w:tplc="C8226C7E">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 w15:restartNumberingAfterBreak="0">
    <w:nsid w:val="4F0D7339"/>
    <w:multiLevelType w:val="hybridMultilevel"/>
    <w:tmpl w:val="65C801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D8"/>
    <w:rsid w:val="00076B8A"/>
    <w:rsid w:val="00312584"/>
    <w:rsid w:val="00413AD8"/>
    <w:rsid w:val="005C71FE"/>
    <w:rsid w:val="006F33B0"/>
    <w:rsid w:val="007472E7"/>
    <w:rsid w:val="00887F1A"/>
    <w:rsid w:val="0093089D"/>
    <w:rsid w:val="00A76686"/>
    <w:rsid w:val="00B375B5"/>
    <w:rsid w:val="00F076C6"/>
    <w:rsid w:val="00F45C85"/>
    <w:rsid w:val="01FF02FE"/>
    <w:rsid w:val="065A530D"/>
    <w:rsid w:val="717B7C2E"/>
    <w:rsid w:val="72EAA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1E1C"/>
  <w15:chartTrackingRefBased/>
  <w15:docId w15:val="{8E68B78C-E5FC-4EB9-881F-41542CB7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13AD8"/>
    <w:pPr>
      <w:spacing w:after="0" w:line="240" w:lineRule="auto"/>
    </w:pPr>
    <w:rPr>
      <w:rFonts w:ascii="Calibri" w:hAnsi="Calibri" w:cs="Calibr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13AD8"/>
    <w:pPr>
      <w:spacing w:after="160" w:line="252" w:lineRule="auto"/>
      <w:ind w:left="720"/>
      <w:contextualSpacing/>
    </w:pPr>
  </w:style>
  <w:style w:type="table" w:styleId="Tabelraster">
    <w:name w:val="Table Grid"/>
    <w:basedOn w:val="Standaardtabel"/>
    <w:uiPriority w:val="39"/>
    <w:rsid w:val="00F076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Standaard"/>
    <w:rsid w:val="00F076C6"/>
    <w:pPr>
      <w:spacing w:before="100" w:beforeAutospacing="1" w:after="100" w:afterAutospacing="1"/>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F076C6"/>
  </w:style>
  <w:style w:type="character" w:styleId="eop" w:customStyle="1">
    <w:name w:val="eop"/>
    <w:basedOn w:val="Standaardalinea-lettertype"/>
    <w:rsid w:val="00F076C6"/>
  </w:style>
  <w:style w:type="character" w:styleId="Hyperlink">
    <w:name w:val="Hyperlink"/>
    <w:basedOn w:val="Standaardalinea-lettertype"/>
    <w:uiPriority w:val="99"/>
    <w:unhideWhenUsed/>
    <w:rsid w:val="00A76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71">
      <w:bodyDiv w:val="1"/>
      <w:marLeft w:val="0"/>
      <w:marRight w:val="0"/>
      <w:marTop w:val="0"/>
      <w:marBottom w:val="0"/>
      <w:divBdr>
        <w:top w:val="none" w:sz="0" w:space="0" w:color="auto"/>
        <w:left w:val="none" w:sz="0" w:space="0" w:color="auto"/>
        <w:bottom w:val="none" w:sz="0" w:space="0" w:color="auto"/>
        <w:right w:val="none" w:sz="0" w:space="0" w:color="auto"/>
      </w:divBdr>
    </w:div>
    <w:div w:id="1746144642">
      <w:bodyDiv w:val="1"/>
      <w:marLeft w:val="0"/>
      <w:marRight w:val="0"/>
      <w:marTop w:val="0"/>
      <w:marBottom w:val="0"/>
      <w:divBdr>
        <w:top w:val="none" w:sz="0" w:space="0" w:color="auto"/>
        <w:left w:val="none" w:sz="0" w:space="0" w:color="auto"/>
        <w:bottom w:val="none" w:sz="0" w:space="0" w:color="auto"/>
        <w:right w:val="none" w:sz="0" w:space="0" w:color="auto"/>
      </w:divBdr>
      <w:divsChild>
        <w:div w:id="876163031">
          <w:marLeft w:val="0"/>
          <w:marRight w:val="0"/>
          <w:marTop w:val="0"/>
          <w:marBottom w:val="0"/>
          <w:divBdr>
            <w:top w:val="none" w:sz="0" w:space="0" w:color="auto"/>
            <w:left w:val="none" w:sz="0" w:space="0" w:color="auto"/>
            <w:bottom w:val="none" w:sz="0" w:space="0" w:color="auto"/>
            <w:right w:val="none" w:sz="0" w:space="0" w:color="auto"/>
          </w:divBdr>
        </w:div>
        <w:div w:id="1546331915">
          <w:marLeft w:val="0"/>
          <w:marRight w:val="0"/>
          <w:marTop w:val="0"/>
          <w:marBottom w:val="0"/>
          <w:divBdr>
            <w:top w:val="none" w:sz="0" w:space="0" w:color="auto"/>
            <w:left w:val="none" w:sz="0" w:space="0" w:color="auto"/>
            <w:bottom w:val="none" w:sz="0" w:space="0" w:color="auto"/>
            <w:right w:val="none" w:sz="0" w:space="0" w:color="auto"/>
          </w:divBdr>
        </w:div>
      </w:divsChild>
    </w:div>
    <w:div w:id="2126729587">
      <w:bodyDiv w:val="1"/>
      <w:marLeft w:val="0"/>
      <w:marRight w:val="0"/>
      <w:marTop w:val="0"/>
      <w:marBottom w:val="0"/>
      <w:divBdr>
        <w:top w:val="none" w:sz="0" w:space="0" w:color="auto"/>
        <w:left w:val="none" w:sz="0" w:space="0" w:color="auto"/>
        <w:bottom w:val="none" w:sz="0" w:space="0" w:color="auto"/>
        <w:right w:val="none" w:sz="0" w:space="0" w:color="auto"/>
      </w:divBdr>
      <w:divsChild>
        <w:div w:id="904149005">
          <w:marLeft w:val="0"/>
          <w:marRight w:val="0"/>
          <w:marTop w:val="0"/>
          <w:marBottom w:val="0"/>
          <w:divBdr>
            <w:top w:val="none" w:sz="0" w:space="0" w:color="auto"/>
            <w:left w:val="none" w:sz="0" w:space="0" w:color="auto"/>
            <w:bottom w:val="none" w:sz="0" w:space="0" w:color="auto"/>
            <w:right w:val="none" w:sz="0" w:space="0" w:color="auto"/>
          </w:divBdr>
        </w:div>
        <w:div w:id="148728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relanceoproepen.toerismevlaanderen.be&#160;&#160;" TargetMode="External" Id="R2be3de1471ac4ed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Zito Ysenbaert</dc:creator>
  <keywords/>
  <dc:description/>
  <lastModifiedBy>Zito Ysenbaert</lastModifiedBy>
  <revision>11</revision>
  <dcterms:created xsi:type="dcterms:W3CDTF">2023-02-16T15:33:00.0000000Z</dcterms:created>
  <dcterms:modified xsi:type="dcterms:W3CDTF">2023-03-17T09:36:46.9268966Z</dcterms:modified>
</coreProperties>
</file>